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988" w:rsidRPr="00A23B70" w:rsidRDefault="00AF2988" w:rsidP="00AF2988">
      <w:pPr>
        <w:widowControl w:val="0"/>
        <w:autoSpaceDE w:val="0"/>
        <w:autoSpaceDN w:val="0"/>
        <w:spacing w:after="120" w:line="230" w:lineRule="auto"/>
        <w:ind w:right="34"/>
        <w:jc w:val="both"/>
        <w:rPr>
          <w:bCs/>
          <w:i/>
          <w:iCs/>
          <w:szCs w:val="24"/>
        </w:rPr>
      </w:pPr>
      <w:bookmarkStart w:id="0" w:name="_GoBack"/>
      <w:bookmarkEnd w:id="0"/>
    </w:p>
    <w:p w:rsidR="00F14C79" w:rsidRPr="004A576C" w:rsidRDefault="00A23B70" w:rsidP="00A23B70">
      <w:pPr>
        <w:widowControl w:val="0"/>
        <w:numPr>
          <w:ilvl w:val="0"/>
          <w:numId w:val="9"/>
        </w:numPr>
        <w:tabs>
          <w:tab w:val="clear" w:pos="720"/>
          <w:tab w:val="num" w:pos="540"/>
        </w:tabs>
        <w:autoSpaceDE w:val="0"/>
        <w:autoSpaceDN w:val="0"/>
        <w:spacing w:after="120" w:line="230" w:lineRule="auto"/>
        <w:ind w:left="540" w:right="34" w:hanging="540"/>
        <w:jc w:val="both"/>
        <w:rPr>
          <w:rFonts w:ascii="Arial" w:hAnsi="Arial" w:cs="Arial"/>
          <w:bCs/>
          <w:sz w:val="22"/>
          <w:szCs w:val="22"/>
          <w:lang w:eastAsia="en-US"/>
        </w:rPr>
      </w:pPr>
      <w:r w:rsidRPr="004A576C">
        <w:rPr>
          <w:rFonts w:ascii="Arial" w:hAnsi="Arial" w:cs="Arial"/>
          <w:bCs/>
          <w:sz w:val="22"/>
          <w:szCs w:val="22"/>
          <w:lang w:eastAsia="en-US"/>
        </w:rPr>
        <w:t>Th</w:t>
      </w:r>
      <w:r w:rsidR="00F14C79" w:rsidRPr="004A576C">
        <w:rPr>
          <w:rFonts w:ascii="Arial" w:hAnsi="Arial" w:cs="Arial"/>
          <w:bCs/>
          <w:sz w:val="22"/>
          <w:szCs w:val="22"/>
          <w:lang w:eastAsia="en-US"/>
        </w:rPr>
        <w:t xml:space="preserve">e purpose of the </w:t>
      </w:r>
      <w:r w:rsidR="006124A0" w:rsidRPr="004A576C">
        <w:rPr>
          <w:rFonts w:ascii="Arial" w:hAnsi="Arial" w:cs="Arial"/>
          <w:bCs/>
          <w:i/>
          <w:spacing w:val="-3"/>
          <w:sz w:val="22"/>
          <w:szCs w:val="22"/>
        </w:rPr>
        <w:t>Mines and Energy Legislation Amendment Bill 2010</w:t>
      </w:r>
      <w:r w:rsidR="006124A0" w:rsidRPr="004A576C">
        <w:rPr>
          <w:rFonts w:ascii="Arial" w:hAnsi="Arial" w:cs="Arial"/>
          <w:bCs/>
          <w:spacing w:val="-3"/>
          <w:sz w:val="22"/>
          <w:szCs w:val="22"/>
        </w:rPr>
        <w:t xml:space="preserve"> </w:t>
      </w:r>
      <w:r w:rsidR="00C807DC" w:rsidRPr="004A576C">
        <w:rPr>
          <w:rFonts w:ascii="Arial" w:hAnsi="Arial" w:cs="Arial"/>
          <w:bCs/>
          <w:spacing w:val="-3"/>
          <w:sz w:val="22"/>
          <w:szCs w:val="22"/>
        </w:rPr>
        <w:t>(the Bill)</w:t>
      </w:r>
      <w:r w:rsidR="004A576C">
        <w:rPr>
          <w:rFonts w:ascii="Arial" w:hAnsi="Arial" w:cs="Arial"/>
          <w:bCs/>
          <w:spacing w:val="-3"/>
          <w:sz w:val="22"/>
          <w:szCs w:val="22"/>
        </w:rPr>
        <w:t xml:space="preserve"> </w:t>
      </w:r>
      <w:r w:rsidR="00F14C79" w:rsidRPr="004A576C">
        <w:rPr>
          <w:rFonts w:ascii="Arial" w:hAnsi="Arial" w:cs="Arial"/>
          <w:bCs/>
          <w:sz w:val="22"/>
          <w:szCs w:val="22"/>
          <w:lang w:eastAsia="en-US"/>
        </w:rPr>
        <w:t xml:space="preserve">is to: </w:t>
      </w:r>
    </w:p>
    <w:p w:rsidR="00A23B70" w:rsidRPr="004A576C" w:rsidRDefault="00A23B70" w:rsidP="00B623B4">
      <w:pPr>
        <w:numPr>
          <w:ilvl w:val="0"/>
          <w:numId w:val="11"/>
        </w:numPr>
        <w:tabs>
          <w:tab w:val="clear" w:pos="720"/>
          <w:tab w:val="num" w:pos="900"/>
        </w:tabs>
        <w:spacing w:line="228" w:lineRule="auto"/>
        <w:ind w:left="900" w:right="34"/>
        <w:jc w:val="both"/>
        <w:rPr>
          <w:rFonts w:ascii="Arial" w:hAnsi="Arial" w:cs="Arial"/>
          <w:bCs/>
          <w:sz w:val="22"/>
          <w:szCs w:val="22"/>
        </w:rPr>
      </w:pPr>
      <w:r w:rsidRPr="004A576C">
        <w:rPr>
          <w:rFonts w:ascii="Arial" w:hAnsi="Arial" w:cs="Arial"/>
          <w:bCs/>
          <w:sz w:val="22"/>
          <w:szCs w:val="22"/>
        </w:rPr>
        <w:t xml:space="preserve">enhance safety and health measures in </w:t>
      </w:r>
      <w:smartTag w:uri="urn:schemas-microsoft-com:office:smarttags" w:element="State">
        <w:smartTag w:uri="urn:schemas-microsoft-com:office:smarttags" w:element="place">
          <w:r w:rsidRPr="004A576C">
            <w:rPr>
              <w:rFonts w:ascii="Arial" w:hAnsi="Arial" w:cs="Arial"/>
              <w:bCs/>
              <w:sz w:val="22"/>
              <w:szCs w:val="22"/>
            </w:rPr>
            <w:t>Queensland</w:t>
          </w:r>
        </w:smartTag>
      </w:smartTag>
      <w:r w:rsidRPr="004A576C">
        <w:rPr>
          <w:rFonts w:ascii="Arial" w:hAnsi="Arial" w:cs="Arial"/>
          <w:bCs/>
          <w:sz w:val="22"/>
          <w:szCs w:val="22"/>
        </w:rPr>
        <w:t xml:space="preserve">’s mining, explosives and gas industries; </w:t>
      </w:r>
    </w:p>
    <w:p w:rsidR="00F14C79" w:rsidRPr="004A576C" w:rsidRDefault="00F14C79" w:rsidP="00B623B4">
      <w:pPr>
        <w:numPr>
          <w:ilvl w:val="0"/>
          <w:numId w:val="11"/>
        </w:numPr>
        <w:tabs>
          <w:tab w:val="clear" w:pos="720"/>
          <w:tab w:val="num" w:pos="900"/>
        </w:tabs>
        <w:spacing w:line="228" w:lineRule="auto"/>
        <w:ind w:left="900" w:right="34"/>
        <w:jc w:val="both"/>
        <w:rPr>
          <w:rFonts w:ascii="Arial" w:hAnsi="Arial" w:cs="Arial"/>
          <w:bCs/>
          <w:sz w:val="22"/>
          <w:szCs w:val="22"/>
        </w:rPr>
      </w:pPr>
      <w:r w:rsidRPr="004A576C">
        <w:rPr>
          <w:rFonts w:ascii="Arial" w:hAnsi="Arial" w:cs="Arial"/>
          <w:bCs/>
          <w:sz w:val="22"/>
          <w:szCs w:val="22"/>
        </w:rPr>
        <w:t>streamline and simplify processes to achieve savings for business and Government;</w:t>
      </w:r>
      <w:r w:rsidR="00A23B70" w:rsidRPr="004A576C">
        <w:rPr>
          <w:rFonts w:ascii="Arial" w:hAnsi="Arial" w:cs="Arial"/>
          <w:bCs/>
          <w:sz w:val="22"/>
          <w:szCs w:val="22"/>
        </w:rPr>
        <w:t xml:space="preserve"> and</w:t>
      </w:r>
    </w:p>
    <w:p w:rsidR="00F14C79" w:rsidRPr="004A576C" w:rsidRDefault="00F14C79" w:rsidP="00B623B4">
      <w:pPr>
        <w:numPr>
          <w:ilvl w:val="0"/>
          <w:numId w:val="13"/>
        </w:numPr>
        <w:tabs>
          <w:tab w:val="clear" w:pos="720"/>
          <w:tab w:val="num" w:pos="900"/>
        </w:tabs>
        <w:spacing w:line="228" w:lineRule="auto"/>
        <w:ind w:left="900" w:right="34"/>
        <w:jc w:val="both"/>
        <w:rPr>
          <w:rFonts w:ascii="Arial" w:hAnsi="Arial" w:cs="Arial"/>
          <w:bCs/>
          <w:sz w:val="22"/>
          <w:szCs w:val="22"/>
        </w:rPr>
      </w:pPr>
      <w:r w:rsidRPr="004A576C">
        <w:rPr>
          <w:rFonts w:ascii="Arial" w:hAnsi="Arial" w:cs="Arial"/>
          <w:bCs/>
          <w:sz w:val="22"/>
          <w:szCs w:val="22"/>
        </w:rPr>
        <w:t>improve electricity retailer credit support arrangements and customer service obligations</w:t>
      </w:r>
      <w:r w:rsidR="00A23B70" w:rsidRPr="004A576C">
        <w:rPr>
          <w:rFonts w:ascii="Arial" w:hAnsi="Arial" w:cs="Arial"/>
          <w:bCs/>
          <w:sz w:val="22"/>
          <w:szCs w:val="22"/>
        </w:rPr>
        <w:t>.</w:t>
      </w:r>
      <w:r w:rsidRPr="004A576C">
        <w:rPr>
          <w:rFonts w:ascii="Arial" w:hAnsi="Arial" w:cs="Arial"/>
          <w:bCs/>
          <w:sz w:val="22"/>
          <w:szCs w:val="22"/>
        </w:rPr>
        <w:t xml:space="preserve"> </w:t>
      </w:r>
    </w:p>
    <w:p w:rsidR="00A23B70" w:rsidRPr="004A576C" w:rsidRDefault="00A23B70" w:rsidP="00A23B70">
      <w:pPr>
        <w:spacing w:line="228" w:lineRule="auto"/>
        <w:ind w:left="360" w:right="34"/>
        <w:jc w:val="both"/>
        <w:rPr>
          <w:rFonts w:ascii="Arial" w:hAnsi="Arial" w:cs="Arial"/>
          <w:bCs/>
          <w:sz w:val="22"/>
          <w:szCs w:val="22"/>
        </w:rPr>
      </w:pPr>
    </w:p>
    <w:p w:rsidR="00F14C79" w:rsidRPr="004A576C" w:rsidRDefault="00F97D82" w:rsidP="00AF2988">
      <w:pPr>
        <w:widowControl w:val="0"/>
        <w:numPr>
          <w:ilvl w:val="0"/>
          <w:numId w:val="9"/>
        </w:numPr>
        <w:tabs>
          <w:tab w:val="clear" w:pos="720"/>
          <w:tab w:val="num" w:pos="540"/>
        </w:tabs>
        <w:autoSpaceDE w:val="0"/>
        <w:autoSpaceDN w:val="0"/>
        <w:spacing w:after="120" w:line="230" w:lineRule="auto"/>
        <w:ind w:left="540" w:right="34" w:hanging="540"/>
        <w:jc w:val="both"/>
        <w:rPr>
          <w:rFonts w:ascii="Arial" w:hAnsi="Arial" w:cs="Arial"/>
          <w:bCs/>
          <w:i/>
          <w:iCs/>
          <w:sz w:val="22"/>
          <w:szCs w:val="22"/>
        </w:rPr>
      </w:pPr>
      <w:r w:rsidRPr="004A576C">
        <w:rPr>
          <w:rFonts w:ascii="Arial" w:hAnsi="Arial" w:cs="Arial"/>
          <w:bCs/>
          <w:iCs/>
          <w:sz w:val="22"/>
          <w:szCs w:val="22"/>
        </w:rPr>
        <w:t>A</w:t>
      </w:r>
      <w:r w:rsidR="00A23B70" w:rsidRPr="004A576C">
        <w:rPr>
          <w:rFonts w:ascii="Arial" w:hAnsi="Arial" w:cs="Arial"/>
          <w:bCs/>
          <w:iCs/>
          <w:sz w:val="22"/>
          <w:szCs w:val="22"/>
        </w:rPr>
        <w:t xml:space="preserve">mendments </w:t>
      </w:r>
      <w:r w:rsidRPr="004A576C">
        <w:rPr>
          <w:rFonts w:ascii="Arial" w:hAnsi="Arial" w:cs="Arial"/>
          <w:bCs/>
          <w:iCs/>
          <w:sz w:val="22"/>
          <w:szCs w:val="22"/>
        </w:rPr>
        <w:t xml:space="preserve">proposed </w:t>
      </w:r>
      <w:r w:rsidR="00A23B70" w:rsidRPr="004A576C">
        <w:rPr>
          <w:rFonts w:ascii="Arial" w:hAnsi="Arial" w:cs="Arial"/>
          <w:bCs/>
          <w:iCs/>
          <w:sz w:val="22"/>
          <w:szCs w:val="22"/>
        </w:rPr>
        <w:t xml:space="preserve">to the </w:t>
      </w:r>
      <w:r w:rsidR="00A23B70" w:rsidRPr="004A576C">
        <w:rPr>
          <w:rFonts w:ascii="Arial" w:hAnsi="Arial" w:cs="Arial"/>
          <w:bCs/>
          <w:i/>
          <w:iCs/>
          <w:sz w:val="22"/>
          <w:szCs w:val="22"/>
        </w:rPr>
        <w:t>Mining and Quarrying Safety and Health Act 1999</w:t>
      </w:r>
      <w:r w:rsidRPr="004A576C">
        <w:rPr>
          <w:rFonts w:ascii="Arial" w:hAnsi="Arial" w:cs="Arial"/>
          <w:bCs/>
          <w:iCs/>
          <w:sz w:val="22"/>
          <w:szCs w:val="22"/>
        </w:rPr>
        <w:t xml:space="preserve"> </w:t>
      </w:r>
      <w:r w:rsidR="006A6785" w:rsidRPr="004A576C">
        <w:rPr>
          <w:rFonts w:ascii="Arial" w:hAnsi="Arial" w:cs="Arial"/>
          <w:bCs/>
          <w:iCs/>
          <w:sz w:val="22"/>
          <w:szCs w:val="22"/>
        </w:rPr>
        <w:t xml:space="preserve">will require small mines to develop and </w:t>
      </w:r>
      <w:r w:rsidR="00D179CD" w:rsidRPr="004A576C">
        <w:rPr>
          <w:rFonts w:ascii="Arial" w:hAnsi="Arial" w:cs="Arial"/>
          <w:bCs/>
          <w:iCs/>
          <w:sz w:val="22"/>
          <w:szCs w:val="22"/>
        </w:rPr>
        <w:t xml:space="preserve">maintain </w:t>
      </w:r>
      <w:r w:rsidR="006A6785" w:rsidRPr="004A576C">
        <w:rPr>
          <w:rFonts w:ascii="Arial" w:hAnsi="Arial" w:cs="Arial"/>
          <w:bCs/>
          <w:iCs/>
          <w:sz w:val="22"/>
          <w:szCs w:val="22"/>
        </w:rPr>
        <w:t xml:space="preserve">a safety and health management system.  </w:t>
      </w:r>
      <w:r w:rsidR="00D179CD" w:rsidRPr="004A576C">
        <w:rPr>
          <w:rFonts w:ascii="Arial" w:hAnsi="Arial" w:cs="Arial"/>
          <w:bCs/>
          <w:iCs/>
          <w:sz w:val="22"/>
          <w:szCs w:val="22"/>
        </w:rPr>
        <w:t xml:space="preserve">This is </w:t>
      </w:r>
      <w:r w:rsidRPr="004A576C">
        <w:rPr>
          <w:rFonts w:ascii="Arial" w:hAnsi="Arial" w:cs="Arial"/>
          <w:bCs/>
          <w:iCs/>
          <w:sz w:val="22"/>
          <w:szCs w:val="22"/>
        </w:rPr>
        <w:t>aimed at reducing fatalities at small mines and quarries</w:t>
      </w:r>
      <w:r w:rsidR="00D179CD" w:rsidRPr="004A576C">
        <w:rPr>
          <w:rFonts w:ascii="Arial" w:hAnsi="Arial" w:cs="Arial"/>
          <w:bCs/>
          <w:iCs/>
          <w:sz w:val="22"/>
          <w:szCs w:val="22"/>
        </w:rPr>
        <w:t xml:space="preserve"> and</w:t>
      </w:r>
      <w:r w:rsidRPr="004A576C">
        <w:rPr>
          <w:rFonts w:ascii="Arial" w:hAnsi="Arial" w:cs="Arial"/>
          <w:bCs/>
          <w:iCs/>
          <w:sz w:val="22"/>
          <w:szCs w:val="22"/>
        </w:rPr>
        <w:t xml:space="preserve"> is part of a broader initiative to improve safety and health in small mines</w:t>
      </w:r>
      <w:r w:rsidR="00EF7B13">
        <w:rPr>
          <w:rFonts w:ascii="Arial" w:hAnsi="Arial" w:cs="Arial"/>
          <w:bCs/>
          <w:iCs/>
          <w:sz w:val="22"/>
          <w:szCs w:val="22"/>
        </w:rPr>
        <w:t>.</w:t>
      </w:r>
    </w:p>
    <w:p w:rsidR="00C80F13" w:rsidRPr="004A576C" w:rsidRDefault="00D62862" w:rsidP="00AF2988">
      <w:pPr>
        <w:widowControl w:val="0"/>
        <w:numPr>
          <w:ilvl w:val="0"/>
          <w:numId w:val="9"/>
        </w:numPr>
        <w:tabs>
          <w:tab w:val="clear" w:pos="720"/>
          <w:tab w:val="num" w:pos="540"/>
        </w:tabs>
        <w:autoSpaceDE w:val="0"/>
        <w:autoSpaceDN w:val="0"/>
        <w:spacing w:after="120" w:line="230" w:lineRule="auto"/>
        <w:ind w:left="540" w:right="34" w:hanging="540"/>
        <w:jc w:val="both"/>
        <w:rPr>
          <w:rFonts w:ascii="Arial" w:hAnsi="Arial" w:cs="Arial"/>
          <w:bCs/>
          <w:i/>
          <w:iCs/>
          <w:sz w:val="22"/>
          <w:szCs w:val="22"/>
        </w:rPr>
      </w:pPr>
      <w:r w:rsidRPr="004A576C">
        <w:rPr>
          <w:rFonts w:ascii="Arial" w:hAnsi="Arial" w:cs="Arial"/>
          <w:bCs/>
          <w:iCs/>
          <w:sz w:val="22"/>
          <w:szCs w:val="22"/>
        </w:rPr>
        <w:t xml:space="preserve">The Bill proposes amendments to the </w:t>
      </w:r>
      <w:r w:rsidRPr="004A576C">
        <w:rPr>
          <w:rFonts w:ascii="Arial" w:hAnsi="Arial" w:cs="Arial"/>
          <w:bCs/>
          <w:i/>
          <w:iCs/>
          <w:sz w:val="22"/>
          <w:szCs w:val="22"/>
        </w:rPr>
        <w:t>Mineral Resources Act 1989</w:t>
      </w:r>
      <w:r w:rsidRPr="004A576C">
        <w:rPr>
          <w:rFonts w:ascii="Arial" w:hAnsi="Arial" w:cs="Arial"/>
          <w:bCs/>
          <w:iCs/>
          <w:sz w:val="22"/>
          <w:szCs w:val="22"/>
        </w:rPr>
        <w:t xml:space="preserve"> to streamline the mining lease approval process by removing the current requirement for the </w:t>
      </w:r>
      <w:smartTag w:uri="urn:schemas-microsoft-com:office:smarttags" w:element="Street">
        <w:smartTag w:uri="urn:schemas-microsoft-com:office:smarttags" w:element="address">
          <w:r w:rsidRPr="004A576C">
            <w:rPr>
              <w:rFonts w:ascii="Arial" w:hAnsi="Arial" w:cs="Arial"/>
              <w:bCs/>
              <w:iCs/>
              <w:sz w:val="22"/>
              <w:szCs w:val="22"/>
            </w:rPr>
            <w:t>Land Court</w:t>
          </w:r>
        </w:smartTag>
      </w:smartTag>
      <w:r w:rsidRPr="004A576C">
        <w:rPr>
          <w:rFonts w:ascii="Arial" w:hAnsi="Arial" w:cs="Arial"/>
          <w:bCs/>
          <w:iCs/>
          <w:sz w:val="22"/>
          <w:szCs w:val="22"/>
        </w:rPr>
        <w:t xml:space="preserve"> to hear mining lease applications where there are no objections.  </w:t>
      </w:r>
      <w:r w:rsidRPr="004A576C">
        <w:rPr>
          <w:rFonts w:ascii="Arial" w:hAnsi="Arial" w:cs="Arial"/>
          <w:sz w:val="22"/>
          <w:szCs w:val="22"/>
        </w:rPr>
        <w:t xml:space="preserve">Where no objections to a mining lease application have been lodged, it is proposed that the merits of the application would be assessed and taken into account by the Minister responsible for </w:t>
      </w:r>
      <w:r w:rsidR="00D179CD" w:rsidRPr="004A576C">
        <w:rPr>
          <w:rFonts w:ascii="Arial" w:hAnsi="Arial" w:cs="Arial"/>
          <w:sz w:val="22"/>
          <w:szCs w:val="22"/>
        </w:rPr>
        <w:t xml:space="preserve">the </w:t>
      </w:r>
      <w:r w:rsidR="00D179CD" w:rsidRPr="004A576C">
        <w:rPr>
          <w:rFonts w:ascii="Arial" w:hAnsi="Arial" w:cs="Arial"/>
          <w:i/>
          <w:sz w:val="22"/>
          <w:szCs w:val="22"/>
        </w:rPr>
        <w:t>Mineral Resources Act</w:t>
      </w:r>
      <w:r w:rsidR="00C807DC" w:rsidRPr="004A576C">
        <w:rPr>
          <w:rFonts w:ascii="Arial" w:hAnsi="Arial" w:cs="Arial"/>
          <w:i/>
          <w:sz w:val="22"/>
          <w:szCs w:val="22"/>
        </w:rPr>
        <w:t xml:space="preserve"> 1989</w:t>
      </w:r>
      <w:r w:rsidRPr="004A576C">
        <w:rPr>
          <w:rFonts w:ascii="Arial" w:hAnsi="Arial" w:cs="Arial"/>
          <w:sz w:val="22"/>
          <w:szCs w:val="22"/>
        </w:rPr>
        <w:t xml:space="preserve">.  </w:t>
      </w:r>
    </w:p>
    <w:p w:rsidR="00D62862" w:rsidRPr="004A576C" w:rsidRDefault="00225273" w:rsidP="00225273">
      <w:pPr>
        <w:widowControl w:val="0"/>
        <w:numPr>
          <w:ilvl w:val="0"/>
          <w:numId w:val="9"/>
        </w:numPr>
        <w:tabs>
          <w:tab w:val="clear" w:pos="720"/>
          <w:tab w:val="num" w:pos="540"/>
        </w:tabs>
        <w:autoSpaceDE w:val="0"/>
        <w:autoSpaceDN w:val="0"/>
        <w:spacing w:after="120" w:line="230" w:lineRule="auto"/>
        <w:ind w:left="540" w:right="34" w:hanging="540"/>
        <w:jc w:val="both"/>
        <w:rPr>
          <w:rFonts w:ascii="Arial" w:hAnsi="Arial" w:cs="Arial"/>
          <w:sz w:val="22"/>
          <w:szCs w:val="22"/>
        </w:rPr>
      </w:pPr>
      <w:r w:rsidRPr="004A576C">
        <w:rPr>
          <w:rFonts w:ascii="Arial" w:hAnsi="Arial" w:cs="Arial"/>
          <w:sz w:val="22"/>
          <w:szCs w:val="22"/>
        </w:rPr>
        <w:t xml:space="preserve">Other amendments that will streamline and simplify regulatory processes include amendments to reduce the regulatory burden on participating businesses in the Smart Energy Savings Program; and to simplify the approvals process for pipelines that traverse both the mainland and </w:t>
      </w:r>
      <w:smartTag w:uri="urn:schemas-microsoft-com:office:smarttags" w:element="State">
        <w:smartTag w:uri="urn:schemas-microsoft-com:office:smarttags" w:element="place">
          <w:r w:rsidRPr="004A576C">
            <w:rPr>
              <w:rFonts w:ascii="Arial" w:hAnsi="Arial" w:cs="Arial"/>
              <w:sz w:val="22"/>
              <w:szCs w:val="22"/>
            </w:rPr>
            <w:t>Queensland</w:t>
          </w:r>
        </w:smartTag>
      </w:smartTag>
      <w:r w:rsidRPr="004A576C">
        <w:rPr>
          <w:rFonts w:ascii="Arial" w:hAnsi="Arial" w:cs="Arial"/>
          <w:sz w:val="22"/>
          <w:szCs w:val="22"/>
        </w:rPr>
        <w:t>’s internal waters.</w:t>
      </w:r>
    </w:p>
    <w:p w:rsidR="001C5601" w:rsidRPr="004A576C" w:rsidRDefault="001C5601" w:rsidP="001C5601">
      <w:pPr>
        <w:widowControl w:val="0"/>
        <w:numPr>
          <w:ilvl w:val="0"/>
          <w:numId w:val="9"/>
        </w:numPr>
        <w:tabs>
          <w:tab w:val="clear" w:pos="720"/>
          <w:tab w:val="num" w:pos="540"/>
        </w:tabs>
        <w:autoSpaceDE w:val="0"/>
        <w:autoSpaceDN w:val="0"/>
        <w:spacing w:after="120" w:line="230" w:lineRule="auto"/>
        <w:ind w:left="540" w:right="34" w:hanging="540"/>
        <w:jc w:val="both"/>
        <w:rPr>
          <w:rFonts w:ascii="Arial" w:hAnsi="Arial" w:cs="Arial"/>
          <w:sz w:val="22"/>
          <w:szCs w:val="22"/>
        </w:rPr>
      </w:pPr>
      <w:r w:rsidRPr="004A576C">
        <w:rPr>
          <w:rFonts w:ascii="Arial" w:hAnsi="Arial" w:cs="Arial"/>
          <w:sz w:val="22"/>
          <w:szCs w:val="22"/>
        </w:rPr>
        <w:t xml:space="preserve">Amendments to the </w:t>
      </w:r>
      <w:r w:rsidRPr="004A576C">
        <w:rPr>
          <w:rFonts w:ascii="Arial" w:hAnsi="Arial" w:cs="Arial"/>
          <w:i/>
          <w:sz w:val="22"/>
          <w:szCs w:val="22"/>
        </w:rPr>
        <w:t>Electricity Act 1994</w:t>
      </w:r>
      <w:r w:rsidRPr="004A576C">
        <w:rPr>
          <w:rFonts w:ascii="Arial" w:hAnsi="Arial" w:cs="Arial"/>
          <w:sz w:val="22"/>
          <w:szCs w:val="22"/>
        </w:rPr>
        <w:t xml:space="preserve"> </w:t>
      </w:r>
      <w:r w:rsidRPr="004A576C">
        <w:rPr>
          <w:rFonts w:ascii="Arial" w:hAnsi="Arial" w:cs="Arial"/>
          <w:noProof/>
          <w:sz w:val="22"/>
          <w:szCs w:val="22"/>
        </w:rPr>
        <w:t xml:space="preserve">will place a clear obligation on electricity retail entities to provide credit support required by distribution entities to mitigate risk of non-payment for electricity distribution services, but only if the credit support required complies with guidelines prepared by the Queensland Competition Authority, or another form agreed to between a retailer and distribution entity.  </w:t>
      </w:r>
      <w:r w:rsidRPr="004A576C">
        <w:rPr>
          <w:rFonts w:ascii="Arial" w:hAnsi="Arial" w:cs="Arial"/>
          <w:sz w:val="22"/>
          <w:szCs w:val="22"/>
        </w:rPr>
        <w:t>The changes to this Act will also ensure large electricity market customers in disconnected premises can secure access to electricity by placing an obligation on the retailer responsible for their premises to offer supply to these customers on fair and reasonable terms.</w:t>
      </w:r>
    </w:p>
    <w:p w:rsidR="00AD01C4" w:rsidRPr="004A576C" w:rsidRDefault="00E31435" w:rsidP="004E70AC">
      <w:pPr>
        <w:widowControl w:val="0"/>
        <w:numPr>
          <w:ilvl w:val="0"/>
          <w:numId w:val="9"/>
        </w:numPr>
        <w:tabs>
          <w:tab w:val="clear" w:pos="720"/>
          <w:tab w:val="num" w:pos="540"/>
        </w:tabs>
        <w:autoSpaceDE w:val="0"/>
        <w:autoSpaceDN w:val="0"/>
        <w:spacing w:after="120" w:line="230" w:lineRule="auto"/>
        <w:ind w:left="540" w:right="34" w:hanging="540"/>
        <w:jc w:val="both"/>
        <w:rPr>
          <w:rFonts w:ascii="Arial" w:hAnsi="Arial" w:cs="Arial"/>
          <w:bCs/>
          <w:i/>
          <w:iCs/>
          <w:sz w:val="22"/>
          <w:szCs w:val="22"/>
        </w:rPr>
      </w:pPr>
      <w:r w:rsidRPr="004A576C">
        <w:rPr>
          <w:rFonts w:ascii="Arial" w:hAnsi="Arial" w:cs="Arial"/>
          <w:sz w:val="22"/>
          <w:szCs w:val="22"/>
        </w:rPr>
        <w:t>In addition to the above amendments, t</w:t>
      </w:r>
      <w:r w:rsidR="00AF2988" w:rsidRPr="004A576C">
        <w:rPr>
          <w:rFonts w:ascii="Arial" w:hAnsi="Arial" w:cs="Arial"/>
          <w:sz w:val="22"/>
          <w:szCs w:val="22"/>
        </w:rPr>
        <w:t xml:space="preserve">he Bill </w:t>
      </w:r>
      <w:r w:rsidRPr="004A576C">
        <w:rPr>
          <w:rFonts w:ascii="Arial" w:hAnsi="Arial" w:cs="Arial"/>
          <w:sz w:val="22"/>
          <w:szCs w:val="22"/>
        </w:rPr>
        <w:t xml:space="preserve">also </w:t>
      </w:r>
      <w:r w:rsidR="00AF2988" w:rsidRPr="004A576C">
        <w:rPr>
          <w:rFonts w:ascii="Arial" w:hAnsi="Arial" w:cs="Arial"/>
          <w:sz w:val="22"/>
          <w:szCs w:val="22"/>
        </w:rPr>
        <w:t xml:space="preserve">contains amendments to the </w:t>
      </w:r>
      <w:r w:rsidR="00AF2988" w:rsidRPr="004A576C">
        <w:rPr>
          <w:rFonts w:ascii="Arial" w:hAnsi="Arial" w:cs="Arial"/>
          <w:bCs/>
          <w:i/>
          <w:iCs/>
          <w:sz w:val="22"/>
          <w:szCs w:val="22"/>
        </w:rPr>
        <w:t>Clean Energy Act 2008</w:t>
      </w:r>
      <w:r w:rsidR="00AF2988" w:rsidRPr="004A576C">
        <w:rPr>
          <w:rFonts w:ascii="Arial" w:hAnsi="Arial" w:cs="Arial"/>
          <w:bCs/>
          <w:i/>
          <w:sz w:val="22"/>
          <w:szCs w:val="22"/>
        </w:rPr>
        <w:t xml:space="preserve">, </w:t>
      </w:r>
      <w:r w:rsidR="00AF2988" w:rsidRPr="004A576C">
        <w:rPr>
          <w:rFonts w:ascii="Arial" w:hAnsi="Arial" w:cs="Arial"/>
          <w:bCs/>
          <w:i/>
          <w:iCs/>
          <w:sz w:val="22"/>
          <w:szCs w:val="22"/>
        </w:rPr>
        <w:t>Coal Mining Safety and Health Act 1999</w:t>
      </w:r>
      <w:r w:rsidR="00AF2988" w:rsidRPr="004A576C">
        <w:rPr>
          <w:rFonts w:ascii="Arial" w:hAnsi="Arial" w:cs="Arial"/>
          <w:bCs/>
          <w:i/>
          <w:sz w:val="22"/>
          <w:szCs w:val="22"/>
        </w:rPr>
        <w:t xml:space="preserve">, </w:t>
      </w:r>
      <w:r w:rsidR="00AF2988" w:rsidRPr="004A576C">
        <w:rPr>
          <w:rFonts w:ascii="Arial" w:hAnsi="Arial" w:cs="Arial"/>
          <w:bCs/>
          <w:i/>
          <w:iCs/>
          <w:sz w:val="22"/>
          <w:szCs w:val="22"/>
        </w:rPr>
        <w:t>Explosives Act 1999</w:t>
      </w:r>
      <w:r w:rsidR="00AF2988" w:rsidRPr="004A576C">
        <w:rPr>
          <w:rFonts w:ascii="Arial" w:hAnsi="Arial" w:cs="Arial"/>
          <w:bCs/>
          <w:i/>
          <w:sz w:val="22"/>
          <w:szCs w:val="22"/>
        </w:rPr>
        <w:t xml:space="preserve">, </w:t>
      </w:r>
      <w:r w:rsidR="00AF2988" w:rsidRPr="004A576C">
        <w:rPr>
          <w:rFonts w:ascii="Arial" w:hAnsi="Arial" w:cs="Arial"/>
          <w:bCs/>
          <w:i/>
          <w:iCs/>
          <w:sz w:val="22"/>
          <w:szCs w:val="22"/>
        </w:rPr>
        <w:t>Geothermal Exploration Act 2004</w:t>
      </w:r>
      <w:r w:rsidR="00AF2988" w:rsidRPr="004A576C">
        <w:rPr>
          <w:rFonts w:ascii="Arial" w:hAnsi="Arial" w:cs="Arial"/>
          <w:bCs/>
          <w:i/>
          <w:sz w:val="22"/>
          <w:szCs w:val="22"/>
        </w:rPr>
        <w:t xml:space="preserve">, </w:t>
      </w:r>
      <w:r w:rsidR="00AF2988" w:rsidRPr="004A576C">
        <w:rPr>
          <w:rFonts w:ascii="Arial" w:hAnsi="Arial" w:cs="Arial"/>
          <w:bCs/>
          <w:i/>
          <w:iCs/>
          <w:sz w:val="22"/>
          <w:szCs w:val="22"/>
        </w:rPr>
        <w:t>Greenhouse Gas Storage Act 2004</w:t>
      </w:r>
      <w:r w:rsidR="00AF2988" w:rsidRPr="004A576C">
        <w:rPr>
          <w:rFonts w:ascii="Arial" w:hAnsi="Arial" w:cs="Arial"/>
          <w:bCs/>
          <w:i/>
          <w:sz w:val="22"/>
          <w:szCs w:val="22"/>
        </w:rPr>
        <w:t xml:space="preserve">, </w:t>
      </w:r>
      <w:r w:rsidR="00AF2988" w:rsidRPr="004A576C">
        <w:rPr>
          <w:rFonts w:ascii="Arial" w:hAnsi="Arial" w:cs="Arial"/>
          <w:bCs/>
          <w:i/>
          <w:iCs/>
          <w:sz w:val="22"/>
          <w:szCs w:val="22"/>
        </w:rPr>
        <w:t>Petroleum and Gas (Production and Safety) Act 2004</w:t>
      </w:r>
      <w:r w:rsidR="00AF2988" w:rsidRPr="004A576C">
        <w:rPr>
          <w:rFonts w:ascii="Arial" w:hAnsi="Arial" w:cs="Arial"/>
          <w:bCs/>
          <w:i/>
          <w:sz w:val="22"/>
          <w:szCs w:val="22"/>
        </w:rPr>
        <w:t xml:space="preserve">, </w:t>
      </w:r>
      <w:r w:rsidR="00AF2988" w:rsidRPr="004A576C">
        <w:rPr>
          <w:rFonts w:ascii="Arial" w:hAnsi="Arial" w:cs="Arial"/>
          <w:i/>
          <w:sz w:val="22"/>
          <w:szCs w:val="22"/>
        </w:rPr>
        <w:t>Petroleum (Submerged Lands) Act 1982</w:t>
      </w:r>
      <w:r w:rsidR="00AF2988" w:rsidRPr="004A576C">
        <w:rPr>
          <w:rFonts w:ascii="Arial" w:hAnsi="Arial" w:cs="Arial"/>
          <w:sz w:val="22"/>
          <w:szCs w:val="22"/>
        </w:rPr>
        <w:t xml:space="preserve"> </w:t>
      </w:r>
      <w:r w:rsidR="00AF2988" w:rsidRPr="004A576C">
        <w:rPr>
          <w:rFonts w:ascii="Arial" w:hAnsi="Arial" w:cs="Arial"/>
          <w:bCs/>
          <w:sz w:val="22"/>
          <w:szCs w:val="22"/>
        </w:rPr>
        <w:t>and</w:t>
      </w:r>
      <w:r w:rsidR="00AF2988" w:rsidRPr="004A576C">
        <w:rPr>
          <w:rFonts w:ascii="Arial" w:hAnsi="Arial" w:cs="Arial"/>
          <w:bCs/>
          <w:i/>
          <w:sz w:val="22"/>
          <w:szCs w:val="22"/>
        </w:rPr>
        <w:t xml:space="preserve"> </w:t>
      </w:r>
      <w:smartTag w:uri="urn:schemas-microsoft-com:office:smarttags" w:element="State">
        <w:smartTag w:uri="urn:schemas-microsoft-com:office:smarttags" w:element="place">
          <w:r w:rsidR="00AF2988" w:rsidRPr="004A576C">
            <w:rPr>
              <w:rFonts w:ascii="Arial" w:hAnsi="Arial" w:cs="Arial"/>
              <w:bCs/>
              <w:i/>
              <w:iCs/>
              <w:sz w:val="22"/>
              <w:szCs w:val="22"/>
            </w:rPr>
            <w:t>Queensland</w:t>
          </w:r>
        </w:smartTag>
      </w:smartTag>
      <w:r w:rsidR="00AF2988" w:rsidRPr="004A576C">
        <w:rPr>
          <w:rFonts w:ascii="Arial" w:hAnsi="Arial" w:cs="Arial"/>
          <w:bCs/>
          <w:i/>
          <w:iCs/>
          <w:sz w:val="22"/>
          <w:szCs w:val="22"/>
        </w:rPr>
        <w:t xml:space="preserve"> Competition Authority Act 1997. </w:t>
      </w:r>
      <w:r w:rsidR="00AD01C4" w:rsidRPr="004A576C">
        <w:rPr>
          <w:rFonts w:ascii="Arial" w:hAnsi="Arial" w:cs="Arial"/>
          <w:bCs/>
          <w:spacing w:val="-3"/>
          <w:sz w:val="22"/>
          <w:szCs w:val="22"/>
        </w:rPr>
        <w:t xml:space="preserve">  </w:t>
      </w:r>
    </w:p>
    <w:p w:rsidR="0065026F" w:rsidRPr="004A576C" w:rsidRDefault="0065026F" w:rsidP="00CF07D3">
      <w:pPr>
        <w:numPr>
          <w:ilvl w:val="0"/>
          <w:numId w:val="9"/>
        </w:numPr>
        <w:tabs>
          <w:tab w:val="clear" w:pos="720"/>
          <w:tab w:val="num" w:pos="540"/>
        </w:tabs>
        <w:spacing w:before="240"/>
        <w:ind w:left="540" w:hanging="540"/>
        <w:jc w:val="both"/>
        <w:rPr>
          <w:rFonts w:ascii="Arial" w:hAnsi="Arial" w:cs="Arial"/>
          <w:bCs/>
          <w:spacing w:val="-3"/>
          <w:sz w:val="22"/>
          <w:szCs w:val="22"/>
        </w:rPr>
      </w:pPr>
      <w:r w:rsidRPr="004A576C">
        <w:rPr>
          <w:rFonts w:ascii="Arial" w:hAnsi="Arial" w:cs="Arial"/>
          <w:sz w:val="22"/>
          <w:szCs w:val="22"/>
          <w:u w:val="single"/>
        </w:rPr>
        <w:t>Cabinet approved</w:t>
      </w:r>
      <w:r w:rsidR="00FB1396" w:rsidRPr="004A576C">
        <w:rPr>
          <w:rFonts w:ascii="Arial" w:hAnsi="Arial" w:cs="Arial"/>
          <w:sz w:val="22"/>
          <w:szCs w:val="22"/>
          <w:u w:val="single"/>
        </w:rPr>
        <w:t xml:space="preserve"> </w:t>
      </w:r>
      <w:r w:rsidR="00FB1396" w:rsidRPr="004A576C">
        <w:rPr>
          <w:rFonts w:ascii="Arial" w:hAnsi="Arial" w:cs="Arial"/>
          <w:sz w:val="22"/>
          <w:szCs w:val="22"/>
        </w:rPr>
        <w:t xml:space="preserve">the </w:t>
      </w:r>
      <w:r w:rsidR="00FB3572" w:rsidRPr="004A576C">
        <w:rPr>
          <w:rFonts w:ascii="Arial" w:hAnsi="Arial" w:cs="Arial"/>
          <w:i/>
          <w:sz w:val="22"/>
          <w:szCs w:val="22"/>
        </w:rPr>
        <w:t>Mines and Energy Legislation Amendment</w:t>
      </w:r>
      <w:r w:rsidR="00FB1396" w:rsidRPr="004A576C">
        <w:rPr>
          <w:rFonts w:ascii="Arial" w:hAnsi="Arial" w:cs="Arial"/>
          <w:i/>
          <w:sz w:val="22"/>
          <w:szCs w:val="22"/>
        </w:rPr>
        <w:t xml:space="preserve"> Bill</w:t>
      </w:r>
      <w:r w:rsidR="00FB3572" w:rsidRPr="004A576C">
        <w:rPr>
          <w:rFonts w:ascii="Arial" w:hAnsi="Arial" w:cs="Arial"/>
          <w:i/>
          <w:sz w:val="22"/>
          <w:szCs w:val="22"/>
        </w:rPr>
        <w:t xml:space="preserve"> 20</w:t>
      </w:r>
      <w:r w:rsidR="00CF07D3" w:rsidRPr="004A576C">
        <w:rPr>
          <w:rFonts w:ascii="Arial" w:hAnsi="Arial" w:cs="Arial"/>
          <w:i/>
          <w:sz w:val="22"/>
          <w:szCs w:val="22"/>
        </w:rPr>
        <w:t>10</w:t>
      </w:r>
      <w:r w:rsidR="00FB3572" w:rsidRPr="004A576C">
        <w:rPr>
          <w:rFonts w:ascii="Arial" w:hAnsi="Arial" w:cs="Arial"/>
          <w:sz w:val="22"/>
          <w:szCs w:val="22"/>
        </w:rPr>
        <w:t xml:space="preserve"> be introduced into Parliament</w:t>
      </w:r>
      <w:r w:rsidR="00FB1396" w:rsidRPr="004A576C">
        <w:rPr>
          <w:rFonts w:ascii="Arial" w:hAnsi="Arial" w:cs="Arial"/>
          <w:sz w:val="22"/>
          <w:szCs w:val="22"/>
        </w:rPr>
        <w:t>.</w:t>
      </w:r>
    </w:p>
    <w:p w:rsidR="00C807DC" w:rsidRPr="004A576C" w:rsidRDefault="003F4464" w:rsidP="00CF07D3">
      <w:pPr>
        <w:numPr>
          <w:ilvl w:val="0"/>
          <w:numId w:val="9"/>
        </w:numPr>
        <w:tabs>
          <w:tab w:val="clear" w:pos="720"/>
          <w:tab w:val="num" w:pos="540"/>
        </w:tabs>
        <w:spacing w:before="240"/>
        <w:ind w:left="540" w:hanging="540"/>
        <w:jc w:val="both"/>
        <w:rPr>
          <w:rFonts w:ascii="Arial" w:hAnsi="Arial" w:cs="Arial"/>
          <w:bCs/>
          <w:spacing w:val="-3"/>
          <w:sz w:val="22"/>
          <w:szCs w:val="22"/>
        </w:rPr>
      </w:pPr>
      <w:r w:rsidRPr="004A576C">
        <w:rPr>
          <w:rFonts w:ascii="Arial" w:hAnsi="Arial" w:cs="Arial"/>
          <w:i/>
          <w:sz w:val="22"/>
          <w:szCs w:val="22"/>
          <w:u w:val="single"/>
        </w:rPr>
        <w:t>Attachments</w:t>
      </w:r>
      <w:r w:rsidRPr="004A576C">
        <w:rPr>
          <w:rFonts w:ascii="Arial" w:hAnsi="Arial" w:cs="Arial"/>
          <w:sz w:val="22"/>
          <w:szCs w:val="22"/>
        </w:rPr>
        <w:t xml:space="preserve"> </w:t>
      </w:r>
    </w:p>
    <w:p w:rsidR="00C807DC" w:rsidRPr="004A576C" w:rsidRDefault="007B2261" w:rsidP="00C807DC">
      <w:pPr>
        <w:numPr>
          <w:ilvl w:val="1"/>
          <w:numId w:val="9"/>
        </w:numPr>
        <w:tabs>
          <w:tab w:val="clear" w:pos="1440"/>
          <w:tab w:val="num" w:pos="1080"/>
        </w:tabs>
        <w:spacing w:before="240"/>
        <w:ind w:left="1080" w:hanging="540"/>
        <w:jc w:val="both"/>
        <w:rPr>
          <w:rFonts w:ascii="Arial" w:hAnsi="Arial" w:cs="Arial"/>
          <w:bCs/>
          <w:spacing w:val="-3"/>
          <w:sz w:val="22"/>
          <w:szCs w:val="22"/>
        </w:rPr>
      </w:pPr>
      <w:hyperlink r:id="rId7" w:history="1">
        <w:r w:rsidR="003F4464" w:rsidRPr="001B2FD2">
          <w:rPr>
            <w:rStyle w:val="Hyperlink"/>
            <w:rFonts w:ascii="Arial" w:hAnsi="Arial" w:cs="Arial"/>
            <w:sz w:val="22"/>
            <w:szCs w:val="22"/>
          </w:rPr>
          <w:t>Mines and Energy Legislation Amendment Bill 2010</w:t>
        </w:r>
      </w:hyperlink>
      <w:r w:rsidR="003F4464" w:rsidRPr="004A576C">
        <w:rPr>
          <w:rFonts w:ascii="Arial" w:hAnsi="Arial" w:cs="Arial"/>
          <w:sz w:val="22"/>
          <w:szCs w:val="22"/>
        </w:rPr>
        <w:t xml:space="preserve"> </w:t>
      </w:r>
    </w:p>
    <w:p w:rsidR="003F4464" w:rsidRPr="004A576C" w:rsidRDefault="007B2261" w:rsidP="00C807DC">
      <w:pPr>
        <w:numPr>
          <w:ilvl w:val="1"/>
          <w:numId w:val="9"/>
        </w:numPr>
        <w:tabs>
          <w:tab w:val="clear" w:pos="1440"/>
          <w:tab w:val="num" w:pos="1080"/>
        </w:tabs>
        <w:spacing w:before="240"/>
        <w:ind w:left="1080" w:hanging="540"/>
        <w:jc w:val="both"/>
        <w:rPr>
          <w:rFonts w:ascii="Arial" w:hAnsi="Arial" w:cs="Arial"/>
          <w:bCs/>
          <w:spacing w:val="-3"/>
          <w:sz w:val="22"/>
          <w:szCs w:val="22"/>
        </w:rPr>
      </w:pPr>
      <w:hyperlink r:id="rId8" w:history="1">
        <w:r w:rsidR="00C807DC" w:rsidRPr="001B2FD2">
          <w:rPr>
            <w:rStyle w:val="Hyperlink"/>
            <w:rFonts w:ascii="Arial" w:hAnsi="Arial" w:cs="Arial"/>
            <w:sz w:val="22"/>
            <w:szCs w:val="22"/>
          </w:rPr>
          <w:t>Mines and Energy Legislation Amendment Bill 2010 E</w:t>
        </w:r>
        <w:r w:rsidR="003F4464" w:rsidRPr="001B2FD2">
          <w:rPr>
            <w:rStyle w:val="Hyperlink"/>
            <w:rFonts w:ascii="Arial" w:hAnsi="Arial" w:cs="Arial"/>
            <w:sz w:val="22"/>
            <w:szCs w:val="22"/>
          </w:rPr>
          <w:t>xplanatory notes</w:t>
        </w:r>
      </w:hyperlink>
    </w:p>
    <w:p w:rsidR="0065026F" w:rsidRPr="00A23B70" w:rsidRDefault="0065026F" w:rsidP="0065026F">
      <w:pPr>
        <w:rPr>
          <w:szCs w:val="24"/>
        </w:rPr>
      </w:pPr>
    </w:p>
    <w:p w:rsidR="006C4EAF" w:rsidRPr="00A23B70" w:rsidRDefault="006C4EAF">
      <w:pPr>
        <w:rPr>
          <w:szCs w:val="24"/>
        </w:rPr>
      </w:pPr>
    </w:p>
    <w:sectPr w:rsidR="006C4EAF" w:rsidRPr="00A23B70" w:rsidSect="0065026F">
      <w:headerReference w:type="default" r:id="rId9"/>
      <w:footerReference w:type="default" r:id="rId10"/>
      <w:headerReference w:type="first" r:id="rId11"/>
      <w:pgSz w:w="11907" w:h="16840" w:code="9"/>
      <w:pgMar w:top="1418" w:right="851" w:bottom="1191" w:left="1985"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5BB" w:rsidRDefault="00F025BB">
      <w:r>
        <w:separator/>
      </w:r>
    </w:p>
  </w:endnote>
  <w:endnote w:type="continuationSeparator" w:id="0">
    <w:p w:rsidR="00F025BB" w:rsidRDefault="00F0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DB" w:rsidRPr="001141E1" w:rsidRDefault="004B27DB" w:rsidP="0065026F">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5BB" w:rsidRDefault="00F025BB">
      <w:r>
        <w:separator/>
      </w:r>
    </w:p>
  </w:footnote>
  <w:footnote w:type="continuationSeparator" w:id="0">
    <w:p w:rsidR="00F025BB" w:rsidRDefault="00F02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DB" w:rsidRPr="000400F9" w:rsidRDefault="0089230E" w:rsidP="0065026F">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4B27DB" w:rsidRPr="000400F9">
      <w:rPr>
        <w:rFonts w:ascii="Arial" w:hAnsi="Arial" w:cs="Arial"/>
        <w:b/>
        <w:sz w:val="22"/>
        <w:szCs w:val="22"/>
        <w:u w:val="single"/>
      </w:rPr>
      <w:t xml:space="preserve">Cabinet – </w:t>
    </w:r>
    <w:r w:rsidR="004B27DB">
      <w:rPr>
        <w:rFonts w:ascii="Arial" w:hAnsi="Arial" w:cs="Arial"/>
        <w:b/>
        <w:sz w:val="22"/>
        <w:szCs w:val="22"/>
        <w:u w:val="single"/>
      </w:rPr>
      <w:t>month year</w:t>
    </w:r>
  </w:p>
  <w:p w:rsidR="004B27DB" w:rsidRDefault="004B27DB" w:rsidP="0065026F">
    <w:pPr>
      <w:pStyle w:val="Header"/>
      <w:spacing w:before="120"/>
      <w:rPr>
        <w:rFonts w:ascii="Arial" w:hAnsi="Arial" w:cs="Arial"/>
        <w:b/>
        <w:sz w:val="22"/>
        <w:szCs w:val="22"/>
        <w:u w:val="single"/>
      </w:rPr>
    </w:pPr>
    <w:r>
      <w:rPr>
        <w:rFonts w:ascii="Arial" w:hAnsi="Arial" w:cs="Arial"/>
        <w:b/>
        <w:sz w:val="22"/>
        <w:szCs w:val="22"/>
        <w:u w:val="single"/>
      </w:rPr>
      <w:t>submission subject</w:t>
    </w:r>
  </w:p>
  <w:p w:rsidR="004B27DB" w:rsidRDefault="004B27DB" w:rsidP="0065026F">
    <w:pPr>
      <w:pStyle w:val="Header"/>
      <w:spacing w:before="120"/>
      <w:rPr>
        <w:rFonts w:ascii="Arial" w:hAnsi="Arial" w:cs="Arial"/>
        <w:b/>
        <w:sz w:val="22"/>
        <w:szCs w:val="22"/>
        <w:u w:val="single"/>
      </w:rPr>
    </w:pPr>
    <w:r>
      <w:rPr>
        <w:rFonts w:ascii="Arial" w:hAnsi="Arial" w:cs="Arial"/>
        <w:b/>
        <w:sz w:val="22"/>
        <w:szCs w:val="22"/>
        <w:u w:val="single"/>
      </w:rPr>
      <w:t>Minister/s title</w:t>
    </w:r>
  </w:p>
  <w:p w:rsidR="004B27DB" w:rsidRPr="00F10DF9" w:rsidRDefault="004B27DB" w:rsidP="0065026F">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DB" w:rsidRPr="000400F9" w:rsidRDefault="0089230E" w:rsidP="0065026F">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4B27DB" w:rsidRPr="000400F9">
      <w:rPr>
        <w:rFonts w:ascii="Arial" w:hAnsi="Arial" w:cs="Arial"/>
        <w:b/>
        <w:sz w:val="22"/>
        <w:szCs w:val="22"/>
        <w:u w:val="single"/>
      </w:rPr>
      <w:t>Cabinet –</w:t>
    </w:r>
    <w:r w:rsidR="004B27DB">
      <w:rPr>
        <w:rFonts w:ascii="Arial" w:hAnsi="Arial" w:cs="Arial"/>
        <w:b/>
        <w:sz w:val="22"/>
        <w:szCs w:val="22"/>
        <w:u w:val="single"/>
      </w:rPr>
      <w:t xml:space="preserve"> February 2010</w:t>
    </w:r>
  </w:p>
  <w:p w:rsidR="004B27DB" w:rsidRPr="00EE48B5" w:rsidRDefault="004B27DB" w:rsidP="00C807DC">
    <w:pPr>
      <w:pStyle w:val="Header"/>
      <w:spacing w:before="120"/>
      <w:rPr>
        <w:rFonts w:ascii="Arial" w:hAnsi="Arial" w:cs="Arial"/>
        <w:b/>
        <w:i/>
        <w:sz w:val="22"/>
        <w:szCs w:val="22"/>
        <w:u w:val="single"/>
      </w:rPr>
    </w:pPr>
    <w:r w:rsidRPr="00EE48B5">
      <w:rPr>
        <w:rFonts w:ascii="Arial" w:hAnsi="Arial" w:cs="Arial"/>
        <w:b/>
        <w:i/>
        <w:sz w:val="22"/>
        <w:szCs w:val="22"/>
        <w:u w:val="single"/>
      </w:rPr>
      <w:t>Mines and Energy Legislation Amendment Bill 20</w:t>
    </w:r>
    <w:r>
      <w:rPr>
        <w:rFonts w:ascii="Arial" w:hAnsi="Arial" w:cs="Arial"/>
        <w:b/>
        <w:i/>
        <w:sz w:val="22"/>
        <w:szCs w:val="22"/>
        <w:u w:val="single"/>
      </w:rPr>
      <w:t>10</w:t>
    </w:r>
  </w:p>
  <w:p w:rsidR="004B27DB" w:rsidRDefault="004B27DB" w:rsidP="00C807DC">
    <w:pPr>
      <w:pStyle w:val="Header"/>
      <w:spacing w:before="120"/>
      <w:rPr>
        <w:rFonts w:ascii="Arial" w:hAnsi="Arial" w:cs="Arial"/>
        <w:b/>
        <w:sz w:val="22"/>
        <w:szCs w:val="22"/>
        <w:u w:val="single"/>
      </w:rPr>
    </w:pPr>
    <w:r>
      <w:rPr>
        <w:rFonts w:ascii="Arial" w:hAnsi="Arial" w:cs="Arial"/>
        <w:b/>
        <w:sz w:val="22"/>
        <w:szCs w:val="22"/>
        <w:u w:val="single"/>
      </w:rPr>
      <w:t>Minister for Natural Resources, Mines and Energy</w:t>
    </w:r>
  </w:p>
  <w:p w:rsidR="004B27DB" w:rsidRPr="00F10DF9" w:rsidRDefault="004B27DB" w:rsidP="0065026F">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843"/>
    <w:multiLevelType w:val="hybridMultilevel"/>
    <w:tmpl w:val="8FCE4D9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BF81D6C"/>
    <w:multiLevelType w:val="hybridMultilevel"/>
    <w:tmpl w:val="DE4C8C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6F3960"/>
    <w:multiLevelType w:val="hybridMultilevel"/>
    <w:tmpl w:val="F28C7BEC"/>
    <w:lvl w:ilvl="0" w:tplc="C25E42D6">
      <w:start w:val="1"/>
      <w:numFmt w:val="bullet"/>
      <w:lvlText w:val=""/>
      <w:lvlJc w:val="left"/>
      <w:pPr>
        <w:tabs>
          <w:tab w:val="num" w:pos="0"/>
        </w:tabs>
        <w:ind w:left="284" w:hanging="28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F1413"/>
    <w:multiLevelType w:val="hybridMultilevel"/>
    <w:tmpl w:val="54F4ABC2"/>
    <w:lvl w:ilvl="0" w:tplc="8F5C5BE6">
      <w:start w:val="1"/>
      <w:numFmt w:val="decimal"/>
      <w:lvlText w:val="%1."/>
      <w:lvlJc w:val="left"/>
      <w:pPr>
        <w:tabs>
          <w:tab w:val="num" w:pos="720"/>
        </w:tabs>
        <w:ind w:left="720" w:hanging="360"/>
      </w:pPr>
      <w:rPr>
        <w:i w:val="0"/>
      </w:rPr>
    </w:lvl>
    <w:lvl w:ilvl="1" w:tplc="0C090001">
      <w:start w:val="1"/>
      <w:numFmt w:val="bullet"/>
      <w:lvlText w:val=""/>
      <w:lvlJc w:val="left"/>
      <w:pPr>
        <w:tabs>
          <w:tab w:val="num" w:pos="1440"/>
        </w:tabs>
        <w:ind w:left="1440" w:hanging="360"/>
      </w:pPr>
      <w:rPr>
        <w:rFonts w:ascii="Symbol" w:hAnsi="Symbol"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6F5073F"/>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2FF63D5"/>
    <w:multiLevelType w:val="hybridMultilevel"/>
    <w:tmpl w:val="43F22E5A"/>
    <w:lvl w:ilvl="0" w:tplc="0C090001">
      <w:start w:val="1"/>
      <w:numFmt w:val="bullet"/>
      <w:lvlText w:val=""/>
      <w:lvlJc w:val="left"/>
      <w:pPr>
        <w:tabs>
          <w:tab w:val="num" w:pos="720"/>
        </w:tabs>
        <w:ind w:left="720" w:hanging="360"/>
      </w:pPr>
      <w:rPr>
        <w:rFonts w:ascii="Symbol" w:hAnsi="Symbol"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40B0AFC"/>
    <w:multiLevelType w:val="hybridMultilevel"/>
    <w:tmpl w:val="536E0EA0"/>
    <w:lvl w:ilvl="0" w:tplc="0C090001">
      <w:start w:val="1"/>
      <w:numFmt w:val="bullet"/>
      <w:lvlText w:val=""/>
      <w:lvlJc w:val="left"/>
      <w:pPr>
        <w:tabs>
          <w:tab w:val="num" w:pos="720"/>
        </w:tabs>
        <w:ind w:left="720" w:hanging="360"/>
      </w:pPr>
      <w:rPr>
        <w:rFonts w:ascii="Symbol" w:hAnsi="Symbol"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A8772A1"/>
    <w:multiLevelType w:val="hybridMultilevel"/>
    <w:tmpl w:val="CEB23E08"/>
    <w:lvl w:ilvl="0" w:tplc="0C090001">
      <w:start w:val="1"/>
      <w:numFmt w:val="bullet"/>
      <w:lvlText w:val=""/>
      <w:lvlJc w:val="left"/>
      <w:pPr>
        <w:tabs>
          <w:tab w:val="num" w:pos="720"/>
        </w:tabs>
        <w:ind w:left="720" w:hanging="360"/>
      </w:pPr>
      <w:rPr>
        <w:rFonts w:ascii="Symbol" w:hAnsi="Symbol"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C8E3639"/>
    <w:multiLevelType w:val="hybridMultilevel"/>
    <w:tmpl w:val="0D109E22"/>
    <w:lvl w:ilvl="0" w:tplc="F634B3CE">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646E0A30"/>
    <w:multiLevelType w:val="hybridMultilevel"/>
    <w:tmpl w:val="6A00F3D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0E37249"/>
    <w:multiLevelType w:val="hybridMultilevel"/>
    <w:tmpl w:val="94E47776"/>
    <w:lvl w:ilvl="0" w:tplc="0C090001">
      <w:start w:val="1"/>
      <w:numFmt w:val="bullet"/>
      <w:lvlText w:val=""/>
      <w:lvlJc w:val="left"/>
      <w:pPr>
        <w:tabs>
          <w:tab w:val="num" w:pos="720"/>
        </w:tabs>
        <w:ind w:left="720" w:hanging="360"/>
      </w:pPr>
      <w:rPr>
        <w:rFonts w:ascii="Symbol" w:hAnsi="Symbol" w:hint="default"/>
      </w:rPr>
    </w:lvl>
    <w:lvl w:ilvl="1" w:tplc="D418484C">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F176F87"/>
    <w:multiLevelType w:val="hybridMultilevel"/>
    <w:tmpl w:val="3D3A54E2"/>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0"/>
  </w:num>
  <w:num w:numId="4">
    <w:abstractNumId w:val="4"/>
  </w:num>
  <w:num w:numId="5">
    <w:abstractNumId w:val="1"/>
  </w:num>
  <w:num w:numId="6">
    <w:abstractNumId w:val="8"/>
  </w:num>
  <w:num w:numId="7">
    <w:abstractNumId w:val="9"/>
  </w:num>
  <w:num w:numId="8">
    <w:abstractNumId w:val="0"/>
  </w:num>
  <w:num w:numId="9">
    <w:abstractNumId w:val="3"/>
  </w:num>
  <w:num w:numId="10">
    <w:abstractNumId w:val="2"/>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6F"/>
    <w:rsid w:val="00031489"/>
    <w:rsid w:val="000342AB"/>
    <w:rsid w:val="00051132"/>
    <w:rsid w:val="00081A4E"/>
    <w:rsid w:val="00091873"/>
    <w:rsid w:val="000B453E"/>
    <w:rsid w:val="000C2255"/>
    <w:rsid w:val="000D490D"/>
    <w:rsid w:val="00132B91"/>
    <w:rsid w:val="00135528"/>
    <w:rsid w:val="00143437"/>
    <w:rsid w:val="00170974"/>
    <w:rsid w:val="001969B4"/>
    <w:rsid w:val="001B2FD2"/>
    <w:rsid w:val="001C5601"/>
    <w:rsid w:val="001F115C"/>
    <w:rsid w:val="00211447"/>
    <w:rsid w:val="00216CCC"/>
    <w:rsid w:val="00225273"/>
    <w:rsid w:val="0023451B"/>
    <w:rsid w:val="002B54BB"/>
    <w:rsid w:val="00303594"/>
    <w:rsid w:val="003362CE"/>
    <w:rsid w:val="003C48DF"/>
    <w:rsid w:val="003F4464"/>
    <w:rsid w:val="004076E5"/>
    <w:rsid w:val="00427B34"/>
    <w:rsid w:val="00450A95"/>
    <w:rsid w:val="004A576C"/>
    <w:rsid w:val="004B27DB"/>
    <w:rsid w:val="004C5296"/>
    <w:rsid w:val="004E70AC"/>
    <w:rsid w:val="0051237E"/>
    <w:rsid w:val="00567560"/>
    <w:rsid w:val="00594BB7"/>
    <w:rsid w:val="00597F25"/>
    <w:rsid w:val="0060353B"/>
    <w:rsid w:val="00605D20"/>
    <w:rsid w:val="00611295"/>
    <w:rsid w:val="006124A0"/>
    <w:rsid w:val="006161C3"/>
    <w:rsid w:val="006300D1"/>
    <w:rsid w:val="00640CAF"/>
    <w:rsid w:val="00647DFB"/>
    <w:rsid w:val="0065026F"/>
    <w:rsid w:val="00682E91"/>
    <w:rsid w:val="00693D82"/>
    <w:rsid w:val="006A6785"/>
    <w:rsid w:val="006C4EAF"/>
    <w:rsid w:val="00776FFF"/>
    <w:rsid w:val="007978FD"/>
    <w:rsid w:val="007B2261"/>
    <w:rsid w:val="007B693B"/>
    <w:rsid w:val="007B724C"/>
    <w:rsid w:val="007D4ACA"/>
    <w:rsid w:val="00856A0F"/>
    <w:rsid w:val="0089230E"/>
    <w:rsid w:val="00894009"/>
    <w:rsid w:val="008B58D7"/>
    <w:rsid w:val="008C7988"/>
    <w:rsid w:val="00940AB3"/>
    <w:rsid w:val="00944167"/>
    <w:rsid w:val="00956DF2"/>
    <w:rsid w:val="00A14D45"/>
    <w:rsid w:val="00A17C89"/>
    <w:rsid w:val="00A23AC0"/>
    <w:rsid w:val="00A23B70"/>
    <w:rsid w:val="00A442DF"/>
    <w:rsid w:val="00A94676"/>
    <w:rsid w:val="00AD01C4"/>
    <w:rsid w:val="00AF2988"/>
    <w:rsid w:val="00B24AED"/>
    <w:rsid w:val="00B26B52"/>
    <w:rsid w:val="00B336AF"/>
    <w:rsid w:val="00B33FE1"/>
    <w:rsid w:val="00B429C2"/>
    <w:rsid w:val="00B623B4"/>
    <w:rsid w:val="00B706AE"/>
    <w:rsid w:val="00B877B5"/>
    <w:rsid w:val="00C17D09"/>
    <w:rsid w:val="00C600EA"/>
    <w:rsid w:val="00C807DC"/>
    <w:rsid w:val="00C80F13"/>
    <w:rsid w:val="00CD174A"/>
    <w:rsid w:val="00CD183B"/>
    <w:rsid w:val="00CF07D3"/>
    <w:rsid w:val="00D179CD"/>
    <w:rsid w:val="00D62862"/>
    <w:rsid w:val="00D721C5"/>
    <w:rsid w:val="00D831EE"/>
    <w:rsid w:val="00D97114"/>
    <w:rsid w:val="00E050A4"/>
    <w:rsid w:val="00E13D55"/>
    <w:rsid w:val="00E20A63"/>
    <w:rsid w:val="00E31435"/>
    <w:rsid w:val="00E62E48"/>
    <w:rsid w:val="00EC0404"/>
    <w:rsid w:val="00ED11AF"/>
    <w:rsid w:val="00EE48B5"/>
    <w:rsid w:val="00EE7B3A"/>
    <w:rsid w:val="00EF0E98"/>
    <w:rsid w:val="00EF7B13"/>
    <w:rsid w:val="00F025BB"/>
    <w:rsid w:val="00F14C79"/>
    <w:rsid w:val="00F77D44"/>
    <w:rsid w:val="00F97D82"/>
    <w:rsid w:val="00FA667A"/>
    <w:rsid w:val="00FA69E9"/>
    <w:rsid w:val="00FB1396"/>
    <w:rsid w:val="00FB3572"/>
    <w:rsid w:val="00FD6C95"/>
    <w:rsid w:val="00FD7471"/>
    <w:rsid w:val="00FE0E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26F"/>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026F"/>
    <w:pPr>
      <w:tabs>
        <w:tab w:val="center" w:pos="4153"/>
        <w:tab w:val="right" w:pos="8306"/>
      </w:tabs>
    </w:pPr>
    <w:rPr>
      <w:color w:val="auto"/>
    </w:rPr>
  </w:style>
  <w:style w:type="paragraph" w:styleId="Footer">
    <w:name w:val="footer"/>
    <w:basedOn w:val="Normal"/>
    <w:rsid w:val="0065026F"/>
    <w:pPr>
      <w:tabs>
        <w:tab w:val="center" w:pos="4153"/>
        <w:tab w:val="right" w:pos="8306"/>
      </w:tabs>
    </w:pPr>
  </w:style>
  <w:style w:type="paragraph" w:styleId="BalloonText">
    <w:name w:val="Balloon Text"/>
    <w:basedOn w:val="Normal"/>
    <w:semiHidden/>
    <w:rsid w:val="00AF2988"/>
    <w:rPr>
      <w:rFonts w:ascii="Tahoma" w:hAnsi="Tahoma" w:cs="Tahoma"/>
      <w:sz w:val="16"/>
      <w:szCs w:val="16"/>
    </w:rPr>
  </w:style>
  <w:style w:type="paragraph" w:customStyle="1" w:styleId="cllobodytext">
    <w:name w:val="cllobodytext"/>
    <w:basedOn w:val="Normal"/>
    <w:rsid w:val="00F14C79"/>
    <w:pPr>
      <w:spacing w:before="120" w:after="120"/>
      <w:jc w:val="both"/>
    </w:pPr>
    <w:rPr>
      <w:rFonts w:ascii="Arial" w:hAnsi="Arial" w:cs="Arial"/>
      <w:color w:val="auto"/>
      <w:sz w:val="22"/>
      <w:szCs w:val="22"/>
    </w:rPr>
  </w:style>
  <w:style w:type="character" w:styleId="CommentReference">
    <w:name w:val="annotation reference"/>
    <w:basedOn w:val="DefaultParagraphFont"/>
    <w:semiHidden/>
    <w:rsid w:val="007B724C"/>
    <w:rPr>
      <w:sz w:val="16"/>
      <w:szCs w:val="16"/>
    </w:rPr>
  </w:style>
  <w:style w:type="paragraph" w:styleId="CommentText">
    <w:name w:val="annotation text"/>
    <w:basedOn w:val="Normal"/>
    <w:semiHidden/>
    <w:rsid w:val="007B724C"/>
    <w:rPr>
      <w:sz w:val="20"/>
    </w:rPr>
  </w:style>
  <w:style w:type="paragraph" w:styleId="CommentSubject">
    <w:name w:val="annotation subject"/>
    <w:basedOn w:val="CommentText"/>
    <w:next w:val="CommentText"/>
    <w:semiHidden/>
    <w:rsid w:val="007B724C"/>
    <w:rPr>
      <w:b/>
      <w:bCs/>
    </w:rPr>
  </w:style>
  <w:style w:type="character" w:styleId="Hyperlink">
    <w:name w:val="Hyperlink"/>
    <w:basedOn w:val="DefaultParagraphFont"/>
    <w:rsid w:val="001B2FD2"/>
    <w:rPr>
      <w:color w:val="0000FF"/>
      <w:u w:val="single"/>
    </w:rPr>
  </w:style>
  <w:style w:type="character" w:styleId="FollowedHyperlink">
    <w:name w:val="FollowedHyperlink"/>
    <w:basedOn w:val="DefaultParagraphFont"/>
    <w:rsid w:val="001B2FD2"/>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Mines%20and%20Energy%20Amendment%20Bill%20Explanatory%20No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Mines%20and%20Energy%20Legislation%20Amendment%20Bill%20201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2320</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2736</CharactersWithSpaces>
  <SharedDoc>false</SharedDoc>
  <HyperlinkBase>https://www.cabinet.qld.gov.au/documents/2010/Feb/Mines and Energy Legislation Amendment Bill 2010/</HyperlinkBase>
  <HLinks>
    <vt:vector size="12" baseType="variant">
      <vt:variant>
        <vt:i4>458763</vt:i4>
      </vt:variant>
      <vt:variant>
        <vt:i4>3</vt:i4>
      </vt:variant>
      <vt:variant>
        <vt:i4>0</vt:i4>
      </vt:variant>
      <vt:variant>
        <vt:i4>5</vt:i4>
      </vt:variant>
      <vt:variant>
        <vt:lpwstr>Attachments/Mines and Energy Amendment Bill Explanatory Notes.pdf</vt:lpwstr>
      </vt:variant>
      <vt:variant>
        <vt:lpwstr/>
      </vt:variant>
      <vt:variant>
        <vt:i4>1245187</vt:i4>
      </vt:variant>
      <vt:variant>
        <vt:i4>0</vt:i4>
      </vt:variant>
      <vt:variant>
        <vt:i4>0</vt:i4>
      </vt:variant>
      <vt:variant>
        <vt:i4>5</vt:i4>
      </vt:variant>
      <vt:variant>
        <vt:lpwstr>Attachments/Mines and Energy Legislation Amendment Bill 2010.pdf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energy,mining,electricity,quarries</cp:keywords>
  <dc:description/>
  <cp:lastModifiedBy/>
  <cp:revision>2</cp:revision>
  <cp:lastPrinted>2010-02-02T00:17:00Z</cp:lastPrinted>
  <dcterms:created xsi:type="dcterms:W3CDTF">2017-10-24T22:19:00Z</dcterms:created>
  <dcterms:modified xsi:type="dcterms:W3CDTF">2018-03-06T01:01:00Z</dcterms:modified>
  <cp:category>energy,mining</cp:category>
</cp:coreProperties>
</file>